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rPr/>
      </w:pPr>
      <w:bookmarkStart w:colFirst="0" w:colLast="0" w:name="_8agaonaaf5hr" w:id="0"/>
      <w:bookmarkEnd w:id="0"/>
      <w:r w:rsidDel="00000000" w:rsidR="00000000" w:rsidRPr="00000000">
        <w:rPr>
          <w:rtl w:val="0"/>
        </w:rPr>
        <w:t xml:space="preserve">Parsha Puzzler Game Show Questions - Acharei Mos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1) Who was allowed to enter the Kodesh Hakadoshim?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    a) A Cohen   b) The Kohen Gadol  c) Anyone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2) What animal was the raffle with?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    a) Two Goats  b) 2 rams c) 2 sheep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3) What do we do on Yom Kippur?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    a) Work on ourselves   b) Eat   c) Have a Seudah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4) Where can you shecht a korban?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    a) Anywhere  b) In New Jersey  c) In the Beis Hamikdash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5) What do we do if we find a blood spot in our egg?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    a) Take out the blood spot  b) Throw away the whole thing  c) You can eat the egg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6) Who can’t you marry?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    a) A first cousin   b) Distant relatives  c) Close Relatives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7) What happens if we marry close relatives?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    a) Go to golus  b) Kares  c) Not in this weeks Parsha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